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F4967" w14:paraId="649068C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49068BD" w14:textId="77777777" w:rsidR="00A80767" w:rsidRPr="000F4967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649068BE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649068E8" wp14:editId="649068E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649068BF" w14:textId="77777777" w:rsidR="0083418E" w:rsidRPr="000F4967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49068C0" w14:textId="0B467238" w:rsidR="001435F2" w:rsidRPr="000F4967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7B52D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49068C1" w14:textId="77777777" w:rsidR="00A80767" w:rsidRPr="000F4967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49068C2" w14:textId="77777777" w:rsidR="00A80767" w:rsidRPr="000F4967" w:rsidRDefault="003814B2" w:rsidP="005875CE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5875CE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5.3</w:t>
            </w:r>
          </w:p>
        </w:tc>
      </w:tr>
      <w:tr w:rsidR="00A80767" w:rsidRPr="000F4967" w14:paraId="649068C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49068C4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49068C5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49068C6" w14:textId="77777777" w:rsidR="00A80767" w:rsidRPr="000F4967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875CE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Commission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49068C7" w14:textId="77777777" w:rsidR="005875CE" w:rsidRPr="000F4967" w:rsidRDefault="005875CE" w:rsidP="005875C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29.IX.2022</w:t>
            </w:r>
          </w:p>
          <w:p w14:paraId="649068C8" w14:textId="77777777" w:rsidR="00A80767" w:rsidRPr="000F4967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649068CA" w14:textId="7FFAECF6" w:rsidR="00A80767" w:rsidRPr="00DD700B" w:rsidRDefault="00EA54A9" w:rsidP="00C54234">
      <w:pPr>
        <w:pStyle w:val="WMOBodyText"/>
        <w:ind w:left="4111" w:hanging="4111"/>
        <w:rPr>
          <w:lang w:val="fr-FR"/>
        </w:rPr>
      </w:pPr>
      <w:r w:rsidRPr="00DD700B">
        <w:rPr>
          <w:b/>
          <w:bCs/>
          <w:lang w:val="fr-FR"/>
        </w:rPr>
        <w:t xml:space="preserve">POINT </w:t>
      </w:r>
      <w:r w:rsidR="005875CE" w:rsidRPr="00DD700B">
        <w:rPr>
          <w:b/>
          <w:bCs/>
          <w:lang w:val="fr-FR"/>
        </w:rPr>
        <w:t>5</w:t>
      </w:r>
      <w:r w:rsidRPr="00DD700B">
        <w:rPr>
          <w:b/>
          <w:bCs/>
          <w:lang w:val="fr-FR"/>
        </w:rPr>
        <w:t xml:space="preserve"> DE L</w:t>
      </w:r>
      <w:r w:rsidR="007B52DD">
        <w:rPr>
          <w:b/>
          <w:bCs/>
          <w:lang w:val="fr-FR"/>
        </w:rPr>
        <w:t>’</w:t>
      </w:r>
      <w:r w:rsidRPr="00DD700B">
        <w:rPr>
          <w:b/>
          <w:bCs/>
          <w:lang w:val="fr-FR"/>
        </w:rPr>
        <w:t>ORDRE DU JOUR</w:t>
      </w:r>
      <w:r w:rsidR="003814B2" w:rsidRPr="00DD700B">
        <w:rPr>
          <w:b/>
          <w:bCs/>
          <w:lang w:val="fr-FR"/>
        </w:rPr>
        <w:t>:</w:t>
      </w:r>
      <w:r w:rsidR="003814B2" w:rsidRPr="00DD700B">
        <w:rPr>
          <w:b/>
          <w:bCs/>
          <w:lang w:val="fr-FR"/>
        </w:rPr>
        <w:tab/>
      </w:r>
      <w:r w:rsidR="00C54234" w:rsidRPr="00DD700B">
        <w:rPr>
          <w:b/>
          <w:bCs/>
          <w:lang w:val="fr-FR"/>
        </w:rPr>
        <w:t>PROGRAMME DE TRAVAIL ACTUEL ET FUTUR DE</w:t>
      </w:r>
      <w:r w:rsidR="007B4004">
        <w:rPr>
          <w:b/>
          <w:bCs/>
          <w:lang w:val="en-CH"/>
        </w:rPr>
        <w:t> </w:t>
      </w:r>
      <w:r w:rsidR="00C54234" w:rsidRPr="00DD700B">
        <w:rPr>
          <w:b/>
          <w:bCs/>
          <w:lang w:val="fr-FR"/>
        </w:rPr>
        <w:t>LA COMMISSION</w:t>
      </w:r>
    </w:p>
    <w:p w14:paraId="649068CB" w14:textId="3575B865" w:rsidR="00003784" w:rsidRPr="00DD700B" w:rsidRDefault="009B580E" w:rsidP="00BE0926">
      <w:pPr>
        <w:pStyle w:val="Heading1"/>
        <w:ind w:left="4111" w:hanging="4111"/>
        <w:jc w:val="left"/>
        <w:rPr>
          <w:sz w:val="20"/>
          <w:szCs w:val="20"/>
          <w:lang w:val="fr-FR"/>
        </w:rPr>
      </w:pPr>
      <w:r w:rsidRPr="00DD700B">
        <w:rPr>
          <w:sz w:val="20"/>
          <w:szCs w:val="20"/>
          <w:lang w:val="fr-FR"/>
        </w:rPr>
        <w:t xml:space="preserve">POINT </w:t>
      </w:r>
      <w:r w:rsidR="005875CE" w:rsidRPr="00DD700B">
        <w:rPr>
          <w:sz w:val="20"/>
          <w:szCs w:val="20"/>
          <w:lang w:val="fr-FR"/>
        </w:rPr>
        <w:t>5.3</w:t>
      </w:r>
      <w:r w:rsidRPr="00DD700B">
        <w:rPr>
          <w:sz w:val="20"/>
          <w:szCs w:val="20"/>
          <w:lang w:val="fr-FR"/>
        </w:rPr>
        <w:t xml:space="preserve"> DE L</w:t>
      </w:r>
      <w:r w:rsidR="007B52DD">
        <w:rPr>
          <w:sz w:val="20"/>
          <w:szCs w:val="20"/>
          <w:lang w:val="fr-FR"/>
        </w:rPr>
        <w:t>’</w:t>
      </w:r>
      <w:r w:rsidRPr="00DD700B">
        <w:rPr>
          <w:sz w:val="20"/>
          <w:szCs w:val="20"/>
          <w:lang w:val="fr-FR"/>
        </w:rPr>
        <w:t>ORDRE DU JOUR</w:t>
      </w:r>
      <w:r w:rsidR="003814B2" w:rsidRPr="00DD700B">
        <w:rPr>
          <w:sz w:val="20"/>
          <w:szCs w:val="20"/>
          <w:lang w:val="fr-FR"/>
        </w:rPr>
        <w:t>:</w:t>
      </w:r>
      <w:r w:rsidR="003814B2" w:rsidRPr="00DD700B">
        <w:rPr>
          <w:sz w:val="20"/>
          <w:szCs w:val="20"/>
          <w:lang w:val="fr-FR"/>
        </w:rPr>
        <w:tab/>
      </w:r>
      <w:r w:rsidR="00D55B02" w:rsidRPr="00DD700B">
        <w:rPr>
          <w:sz w:val="20"/>
          <w:szCs w:val="20"/>
          <w:lang w:val="en-CH"/>
        </w:rPr>
        <w:t>o</w:t>
      </w:r>
      <w:r w:rsidR="00003784" w:rsidRPr="00DD700B">
        <w:rPr>
          <w:sz w:val="20"/>
          <w:szCs w:val="20"/>
          <w:lang w:val="fr-FR"/>
        </w:rPr>
        <w:t>rientation stratégique de l</w:t>
      </w:r>
      <w:r w:rsidR="007B52DD">
        <w:rPr>
          <w:sz w:val="20"/>
          <w:szCs w:val="20"/>
          <w:lang w:val="fr-FR"/>
        </w:rPr>
        <w:t>’</w:t>
      </w:r>
      <w:r w:rsidR="00003784" w:rsidRPr="00DD700B">
        <w:rPr>
          <w:sz w:val="20"/>
          <w:szCs w:val="20"/>
          <w:lang w:val="fr-FR"/>
        </w:rPr>
        <w:t>INFCOM</w:t>
      </w:r>
    </w:p>
    <w:p w14:paraId="649068CC" w14:textId="461315EA" w:rsidR="00A80767" w:rsidRPr="000F4967" w:rsidRDefault="00A56834" w:rsidP="00C54234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0F4967">
        <w:rPr>
          <w:lang w:val="fr-FR"/>
        </w:rPr>
        <w:t>Orientation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INFCOM </w:t>
      </w:r>
    </w:p>
    <w:p w14:paraId="649068CD" w14:textId="77777777" w:rsidR="00092CAE" w:rsidRPr="000F4967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27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0731AA" w:rsidRPr="000F4967" w14:paraId="649068D0" w14:textId="77777777" w:rsidTr="000316C8">
        <w:trPr>
          <w:jc w:val="center"/>
        </w:trPr>
        <w:tc>
          <w:tcPr>
            <w:tcW w:w="9275" w:type="dxa"/>
          </w:tcPr>
          <w:p w14:paraId="649068CE" w14:textId="503A5F5E" w:rsidR="000731AA" w:rsidRPr="000F4967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0F4967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  <w:p w14:paraId="649068CF" w14:textId="77777777" w:rsidR="000731AA" w:rsidRPr="000F4967" w:rsidRDefault="000731AA" w:rsidP="00954287">
            <w:pPr>
              <w:pStyle w:val="WMOBodyText"/>
              <w:spacing w:before="160"/>
              <w:jc w:val="left"/>
              <w:rPr>
                <w:i/>
                <w:iCs/>
                <w:lang w:val="fr-FR"/>
              </w:rPr>
            </w:pPr>
          </w:p>
        </w:tc>
      </w:tr>
      <w:tr w:rsidR="000731AA" w:rsidRPr="00DD700B" w14:paraId="649068D8" w14:textId="77777777" w:rsidTr="000316C8">
        <w:trPr>
          <w:jc w:val="center"/>
        </w:trPr>
        <w:tc>
          <w:tcPr>
            <w:tcW w:w="9275" w:type="dxa"/>
          </w:tcPr>
          <w:p w14:paraId="649068D1" w14:textId="77777777" w:rsidR="000731AA" w:rsidRPr="000F4967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F4967">
              <w:rPr>
                <w:b/>
                <w:bCs/>
                <w:lang w:val="fr-FR"/>
              </w:rPr>
              <w:t>Document pr</w:t>
            </w:r>
            <w:r w:rsidR="00AE7419" w:rsidRPr="000F4967">
              <w:rPr>
                <w:b/>
                <w:bCs/>
                <w:lang w:val="fr-FR"/>
              </w:rPr>
              <w:t>é</w:t>
            </w:r>
            <w:r w:rsidRPr="000F4967">
              <w:rPr>
                <w:b/>
                <w:bCs/>
                <w:lang w:val="fr-FR"/>
              </w:rPr>
              <w:t>sent</w:t>
            </w:r>
            <w:r w:rsidR="00AE7419" w:rsidRPr="000F4967">
              <w:rPr>
                <w:b/>
                <w:bCs/>
                <w:lang w:val="fr-FR"/>
              </w:rPr>
              <w:t>é</w:t>
            </w:r>
            <w:r w:rsidRPr="000F4967">
              <w:rPr>
                <w:b/>
                <w:bCs/>
                <w:lang w:val="fr-FR"/>
              </w:rPr>
              <w:t xml:space="preserve"> </w:t>
            </w:r>
            <w:r w:rsidR="00AE7419" w:rsidRPr="000F4967">
              <w:rPr>
                <w:b/>
                <w:bCs/>
                <w:lang w:val="fr-FR"/>
              </w:rPr>
              <w:t>par</w:t>
            </w:r>
            <w:r w:rsidRPr="000F4967">
              <w:rPr>
                <w:b/>
                <w:bCs/>
                <w:lang w:val="fr-FR"/>
              </w:rPr>
              <w:t>:</w:t>
            </w:r>
            <w:r w:rsidRPr="000F4967">
              <w:rPr>
                <w:lang w:val="fr-FR"/>
              </w:rPr>
              <w:t xml:space="preserve"> </w:t>
            </w:r>
            <w:r w:rsidR="002A3D1D" w:rsidRPr="000F4967">
              <w:rPr>
                <w:lang w:val="fr-FR"/>
              </w:rPr>
              <w:t>le Président de la Commission</w:t>
            </w:r>
          </w:p>
          <w:p w14:paraId="649068D2" w14:textId="77777777" w:rsidR="000731AA" w:rsidRPr="000F4967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0F4967">
              <w:rPr>
                <w:b/>
                <w:bCs/>
                <w:lang w:val="fr-FR"/>
              </w:rPr>
              <w:t>Objectif s</w:t>
            </w:r>
            <w:r w:rsidR="000731AA" w:rsidRPr="000F4967">
              <w:rPr>
                <w:b/>
                <w:bCs/>
                <w:lang w:val="fr-FR"/>
              </w:rPr>
              <w:t>trat</w:t>
            </w:r>
            <w:r w:rsidRPr="000F4967">
              <w:rPr>
                <w:b/>
                <w:bCs/>
                <w:lang w:val="fr-FR"/>
              </w:rPr>
              <w:t>é</w:t>
            </w:r>
            <w:r w:rsidR="000731AA" w:rsidRPr="000F4967">
              <w:rPr>
                <w:b/>
                <w:bCs/>
                <w:lang w:val="fr-FR"/>
              </w:rPr>
              <w:t>gi</w:t>
            </w:r>
            <w:r w:rsidRPr="000F4967">
              <w:rPr>
                <w:b/>
                <w:bCs/>
                <w:lang w:val="fr-FR"/>
              </w:rPr>
              <w:t>que</w:t>
            </w:r>
            <w:r w:rsidR="000731AA" w:rsidRPr="000F4967">
              <w:rPr>
                <w:b/>
                <w:bCs/>
                <w:lang w:val="fr-FR"/>
              </w:rPr>
              <w:t xml:space="preserve"> 2020–2023:</w:t>
            </w:r>
            <w:r w:rsidR="00C54234" w:rsidRPr="000F4967">
              <w:rPr>
                <w:b/>
                <w:bCs/>
                <w:lang w:val="fr-FR"/>
              </w:rPr>
              <w:t xml:space="preserve"> </w:t>
            </w:r>
            <w:r w:rsidR="00C54234" w:rsidRPr="000F4967">
              <w:rPr>
                <w:bCs/>
                <w:lang w:val="fr-FR"/>
              </w:rPr>
              <w:t>2.1, 2.2, 2.3</w:t>
            </w:r>
          </w:p>
          <w:p w14:paraId="649068D3" w14:textId="77777777" w:rsidR="000F4967" w:rsidRPr="000F4967" w:rsidRDefault="003918F6" w:rsidP="000F4967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F4967">
              <w:rPr>
                <w:b/>
                <w:bCs/>
                <w:lang w:val="fr-FR"/>
              </w:rPr>
              <w:t xml:space="preserve">Incidences financières et </w:t>
            </w:r>
            <w:r w:rsidR="000731AA" w:rsidRPr="000F4967">
              <w:rPr>
                <w:b/>
                <w:bCs/>
                <w:lang w:val="fr-FR"/>
              </w:rPr>
              <w:t>administrative</w:t>
            </w:r>
            <w:r w:rsidRPr="000F4967">
              <w:rPr>
                <w:b/>
                <w:bCs/>
                <w:lang w:val="fr-FR"/>
              </w:rPr>
              <w:t>s</w:t>
            </w:r>
            <w:r w:rsidR="000731AA" w:rsidRPr="000F4967">
              <w:rPr>
                <w:b/>
                <w:bCs/>
                <w:lang w:val="fr-FR"/>
              </w:rPr>
              <w:t>:</w:t>
            </w:r>
            <w:r w:rsidR="000731AA" w:rsidRPr="000F4967">
              <w:rPr>
                <w:lang w:val="fr-FR"/>
              </w:rPr>
              <w:t xml:space="preserve"> </w:t>
            </w:r>
            <w:r w:rsidR="000F4967">
              <w:rPr>
                <w:lang w:val="fr-FR"/>
              </w:rPr>
              <w:t>d</w:t>
            </w:r>
            <w:r w:rsidR="00C54234" w:rsidRPr="000F4967">
              <w:rPr>
                <w:lang w:val="fr-FR"/>
              </w:rPr>
              <w:t>ans les limites prévues dans le Plan stratégique et le Plan opérationnel 2020-2023</w:t>
            </w:r>
            <w:r w:rsidR="000F4967" w:rsidRPr="000F4967">
              <w:rPr>
                <w:lang w:val="fr-FR"/>
              </w:rPr>
              <w:t>, avec intégration dans le Plan stratégique et le Plan opérationnel 2024-2027</w:t>
            </w:r>
          </w:p>
          <w:p w14:paraId="649068D4" w14:textId="77777777" w:rsidR="000731AA" w:rsidRPr="000F4967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F4967">
              <w:rPr>
                <w:b/>
                <w:bCs/>
                <w:lang w:val="fr-FR"/>
              </w:rPr>
              <w:t>Principa</w:t>
            </w:r>
            <w:r w:rsidR="000F4967">
              <w:rPr>
                <w:b/>
                <w:bCs/>
                <w:lang w:val="fr-FR"/>
              </w:rPr>
              <w:t>l responsable</w:t>
            </w:r>
            <w:r w:rsidRPr="000F4967">
              <w:rPr>
                <w:b/>
                <w:bCs/>
                <w:lang w:val="fr-FR"/>
              </w:rPr>
              <w:t xml:space="preserve"> de la mise en </w:t>
            </w:r>
            <w:r w:rsidR="007C5CAB" w:rsidRPr="000F4967">
              <w:rPr>
                <w:b/>
                <w:bCs/>
                <w:lang w:val="fr-FR"/>
              </w:rPr>
              <w:t>œuvre</w:t>
            </w:r>
            <w:r w:rsidR="000731AA" w:rsidRPr="000F4967">
              <w:rPr>
                <w:b/>
                <w:bCs/>
                <w:lang w:val="fr-FR"/>
              </w:rPr>
              <w:t>:</w:t>
            </w:r>
            <w:r w:rsidR="000731AA" w:rsidRPr="000F4967">
              <w:rPr>
                <w:lang w:val="fr-FR"/>
              </w:rPr>
              <w:t xml:space="preserve"> </w:t>
            </w:r>
            <w:r w:rsidR="002A3D1D" w:rsidRPr="000F4967">
              <w:rPr>
                <w:lang w:val="fr-FR"/>
              </w:rPr>
              <w:t>INFCOM</w:t>
            </w:r>
          </w:p>
          <w:p w14:paraId="649068D5" w14:textId="77777777" w:rsidR="000731AA" w:rsidRPr="000F4967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F4967">
              <w:rPr>
                <w:b/>
                <w:bCs/>
                <w:lang w:val="fr-FR"/>
              </w:rPr>
              <w:t>Calendrier</w:t>
            </w:r>
            <w:r w:rsidR="000731AA" w:rsidRPr="000F4967">
              <w:rPr>
                <w:b/>
                <w:bCs/>
                <w:lang w:val="fr-FR"/>
              </w:rPr>
              <w:t>:</w:t>
            </w:r>
            <w:r w:rsidR="000731AA" w:rsidRPr="000F4967">
              <w:rPr>
                <w:lang w:val="fr-FR"/>
              </w:rPr>
              <w:t xml:space="preserve"> </w:t>
            </w:r>
            <w:r w:rsidR="002A3D1D" w:rsidRPr="000F4967">
              <w:rPr>
                <w:lang w:val="fr-FR"/>
              </w:rPr>
              <w:t>2022-2027</w:t>
            </w:r>
          </w:p>
          <w:p w14:paraId="649068D6" w14:textId="5F8080A5" w:rsidR="000731AA" w:rsidRPr="000F4967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F4967">
              <w:rPr>
                <w:b/>
                <w:bCs/>
                <w:lang w:val="fr-FR"/>
              </w:rPr>
              <w:t>Mesure</w:t>
            </w:r>
            <w:r w:rsidR="00E779E0" w:rsidRPr="000F4967">
              <w:rPr>
                <w:b/>
                <w:bCs/>
                <w:lang w:val="fr-FR"/>
              </w:rPr>
              <w:t xml:space="preserve"> attendue</w:t>
            </w:r>
            <w:r w:rsidR="000731AA" w:rsidRPr="000F4967">
              <w:rPr>
                <w:b/>
                <w:bCs/>
                <w:lang w:val="fr-FR"/>
              </w:rPr>
              <w:t>:</w:t>
            </w:r>
            <w:r w:rsidR="000731AA" w:rsidRPr="000F4967">
              <w:rPr>
                <w:lang w:val="fr-FR"/>
              </w:rPr>
              <w:t xml:space="preserve"> </w:t>
            </w:r>
            <w:r w:rsidR="000F4967">
              <w:rPr>
                <w:lang w:val="fr-FR"/>
              </w:rPr>
              <w:t>e</w:t>
            </w:r>
            <w:r w:rsidR="002A3D1D" w:rsidRPr="000F4967">
              <w:rPr>
                <w:lang w:val="fr-FR"/>
              </w:rPr>
              <w:t xml:space="preserve">xaminer et adopter le </w:t>
            </w:r>
            <w:hyperlink w:anchor="_Draft_Decision_5.3/1" w:history="1">
              <w:r w:rsidR="002A3D1D" w:rsidRPr="002A4E2F">
                <w:rPr>
                  <w:rStyle w:val="Hyperlink"/>
                  <w:lang w:val="fr-FR"/>
                </w:rPr>
                <w:t>projet de décision</w:t>
              </w:r>
              <w:r w:rsidR="000F4967" w:rsidRPr="002A4E2F">
                <w:rPr>
                  <w:rStyle w:val="Hyperlink"/>
                  <w:lang w:val="fr-FR"/>
                </w:rPr>
                <w:t xml:space="preserve"> proposé</w:t>
              </w:r>
              <w:r w:rsidR="00312E1D">
                <w:rPr>
                  <w:rStyle w:val="Hyperlink"/>
                  <w:lang w:val="en-CH"/>
                </w:rPr>
                <w:t xml:space="preserve"> </w:t>
              </w:r>
              <w:r w:rsidR="002A3D1D" w:rsidRPr="002A4E2F">
                <w:rPr>
                  <w:rStyle w:val="Hyperlink"/>
                  <w:lang w:val="fr-FR"/>
                </w:rPr>
                <w:t>5.3/1 (INFCOM-2)</w:t>
              </w:r>
            </w:hyperlink>
          </w:p>
          <w:p w14:paraId="649068D7" w14:textId="77777777" w:rsidR="000731AA" w:rsidRPr="000F4967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49068D9" w14:textId="77777777" w:rsidR="00092CAE" w:rsidRPr="000F4967" w:rsidRDefault="00092CAE">
      <w:pPr>
        <w:tabs>
          <w:tab w:val="clear" w:pos="1134"/>
        </w:tabs>
        <w:jc w:val="left"/>
        <w:rPr>
          <w:lang w:val="fr-FR"/>
        </w:rPr>
      </w:pPr>
    </w:p>
    <w:p w14:paraId="649068DA" w14:textId="77777777" w:rsidR="00331964" w:rsidRPr="000F4967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F4967">
        <w:rPr>
          <w:lang w:val="fr-FR"/>
        </w:rPr>
        <w:br w:type="page"/>
      </w:r>
    </w:p>
    <w:p w14:paraId="649068DB" w14:textId="77777777" w:rsidR="002A3D1D" w:rsidRPr="000F4967" w:rsidRDefault="002A3D1D" w:rsidP="002A3D1D">
      <w:pPr>
        <w:pStyle w:val="Heading1"/>
        <w:rPr>
          <w:lang w:val="fr-FR"/>
        </w:rPr>
      </w:pPr>
      <w:r w:rsidRPr="000F4967">
        <w:rPr>
          <w:lang w:val="fr-FR"/>
        </w:rPr>
        <w:lastRenderedPageBreak/>
        <w:t>Projet de décision</w:t>
      </w:r>
    </w:p>
    <w:p w14:paraId="649068DC" w14:textId="77777777" w:rsidR="002A3D1D" w:rsidRPr="000F4967" w:rsidRDefault="002A3D1D" w:rsidP="002A3D1D">
      <w:pPr>
        <w:pStyle w:val="Heading2"/>
        <w:rPr>
          <w:lang w:val="fr-FR"/>
        </w:rPr>
      </w:pPr>
      <w:bookmarkStart w:id="1" w:name="_Draft_Decision_5.3/1"/>
      <w:bookmarkStart w:id="2" w:name="_Projet_de_décision"/>
      <w:bookmarkEnd w:id="1"/>
      <w:bookmarkEnd w:id="2"/>
      <w:r w:rsidRPr="002A4E2F">
        <w:rPr>
          <w:lang w:val="fr-FR"/>
        </w:rPr>
        <w:t>Projet de décision 5.3/1 (INFCOM-2)</w:t>
      </w:r>
    </w:p>
    <w:p w14:paraId="649068DD" w14:textId="5EED8277" w:rsidR="002A3D1D" w:rsidRPr="000F4967" w:rsidRDefault="002A3D1D" w:rsidP="002A3D1D">
      <w:pPr>
        <w:pStyle w:val="Heading3"/>
        <w:rPr>
          <w:lang w:val="fr-FR"/>
        </w:rPr>
      </w:pPr>
      <w:r w:rsidRPr="000F4967">
        <w:rPr>
          <w:lang w:val="fr-FR"/>
        </w:rPr>
        <w:t>Orientation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>INFCOM</w:t>
      </w:r>
    </w:p>
    <w:p w14:paraId="649068DE" w14:textId="668F5C13" w:rsidR="002A3D1D" w:rsidRPr="000F4967" w:rsidRDefault="002A3D1D" w:rsidP="008B7E5A">
      <w:pPr>
        <w:pStyle w:val="Heading3"/>
        <w:rPr>
          <w:lang w:val="fr-FR"/>
        </w:rPr>
      </w:pPr>
      <w:bookmarkStart w:id="3" w:name="_Hlk115102819"/>
      <w:r w:rsidRPr="000F4967">
        <w:rPr>
          <w:lang w:val="fr-FR"/>
        </w:rPr>
        <w:t>La Commission des observations, des infrastructures et des systèmes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information décide: </w:t>
      </w:r>
    </w:p>
    <w:p w14:paraId="649068DF" w14:textId="0DCC2905" w:rsidR="002A3D1D" w:rsidRPr="000F4967" w:rsidRDefault="002A3D1D" w:rsidP="002A3D1D">
      <w:pPr>
        <w:pStyle w:val="WMOIndent1"/>
        <w:rPr>
          <w:lang w:val="fr-FR"/>
        </w:rPr>
      </w:pPr>
      <w:r w:rsidRPr="000F4967">
        <w:rPr>
          <w:lang w:val="fr-FR"/>
        </w:rPr>
        <w:t>1)</w:t>
      </w:r>
      <w:r w:rsidRPr="000F4967">
        <w:rPr>
          <w:lang w:val="fr-FR"/>
        </w:rPr>
        <w:tab/>
        <w:t>De prendre note de l</w:t>
      </w:r>
      <w:r w:rsidR="007B52DD">
        <w:rPr>
          <w:lang w:val="fr-FR"/>
        </w:rPr>
        <w:t>’</w:t>
      </w:r>
      <w:r w:rsidRPr="000F4967">
        <w:rPr>
          <w:lang w:val="fr-FR"/>
        </w:rPr>
        <w:t>actuel projet de document relatif à la stratégie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INFCOM, présenté sous la </w:t>
      </w:r>
      <w:r w:rsidR="00FF732B">
        <w:rPr>
          <w:lang w:val="fr-FR"/>
        </w:rPr>
        <w:t>référence</w:t>
      </w:r>
      <w:r w:rsidRPr="000F4967">
        <w:rPr>
          <w:lang w:val="fr-FR"/>
        </w:rPr>
        <w:t xml:space="preserve"> </w:t>
      </w:r>
      <w:hyperlink r:id="rId12" w:history="1">
        <w:r w:rsidRPr="000F4967">
          <w:rPr>
            <w:rStyle w:val="Hyperlink"/>
            <w:lang w:val="fr-FR"/>
          </w:rPr>
          <w:t>INFCOM-2/INF. 5.3</w:t>
        </w:r>
      </w:hyperlink>
      <w:r w:rsidRPr="000F4967">
        <w:rPr>
          <w:lang w:val="fr-FR"/>
        </w:rPr>
        <w:t xml:space="preserve">, </w:t>
      </w:r>
    </w:p>
    <w:p w14:paraId="649068E0" w14:textId="6DCB7440" w:rsidR="002A3D1D" w:rsidRPr="000F4967" w:rsidRDefault="002A3D1D" w:rsidP="002A3D1D">
      <w:pPr>
        <w:pStyle w:val="WMOIndent1"/>
        <w:rPr>
          <w:lang w:val="fr-FR"/>
        </w:rPr>
      </w:pPr>
      <w:r w:rsidRPr="000F4967">
        <w:rPr>
          <w:lang w:val="fr-FR"/>
        </w:rPr>
        <w:t>2)</w:t>
      </w:r>
      <w:r w:rsidRPr="000F4967">
        <w:rPr>
          <w:lang w:val="fr-FR"/>
        </w:rPr>
        <w:tab/>
        <w:t xml:space="preserve">De demander au </w:t>
      </w:r>
      <w:r w:rsidR="000F4967">
        <w:rPr>
          <w:lang w:val="fr-FR"/>
        </w:rPr>
        <w:t>P</w:t>
      </w:r>
      <w:r w:rsidRPr="000F4967">
        <w:rPr>
          <w:lang w:val="fr-FR"/>
        </w:rPr>
        <w:t>résident de la Commission, d</w:t>
      </w:r>
      <w:r w:rsidR="007B52DD">
        <w:rPr>
          <w:lang w:val="fr-FR"/>
        </w:rPr>
        <w:t>’</w:t>
      </w:r>
      <w:r w:rsidRPr="000F4967">
        <w:rPr>
          <w:lang w:val="fr-FR"/>
        </w:rPr>
        <w:t>entente avec le Groupe de gestion, de poursuivre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élaboration du document, puis de le finaliser </w:t>
      </w:r>
      <w:r w:rsidR="000F4967">
        <w:rPr>
          <w:lang w:val="fr-FR"/>
        </w:rPr>
        <w:t>p</w:t>
      </w:r>
      <w:r w:rsidRPr="000F4967">
        <w:rPr>
          <w:lang w:val="fr-FR"/>
        </w:rPr>
        <w:t>our le Dix-neuvième Congrès mé</w:t>
      </w:r>
      <w:r w:rsidR="00FF732B">
        <w:rPr>
          <w:lang w:val="fr-FR"/>
        </w:rPr>
        <w:t>téorologique mondial (Cg-19),</w:t>
      </w:r>
    </w:p>
    <w:p w14:paraId="649068E1" w14:textId="41F124F5" w:rsidR="002A3D1D" w:rsidRPr="000F4967" w:rsidRDefault="002A3D1D" w:rsidP="002A3D1D">
      <w:pPr>
        <w:pStyle w:val="WMOIndent1"/>
        <w:rPr>
          <w:lang w:val="fr-FR"/>
        </w:rPr>
      </w:pPr>
      <w:r w:rsidRPr="000F4967">
        <w:rPr>
          <w:lang w:val="fr-FR"/>
        </w:rPr>
        <w:t>3)</w:t>
      </w:r>
      <w:r w:rsidRPr="000F4967">
        <w:rPr>
          <w:lang w:val="fr-FR"/>
        </w:rPr>
        <w:tab/>
        <w:t>De demander au Président de la Commission de réactualiser le document sur la base de la décision actuelle du Cg-19 relative au Plan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>OMM pour la période 2024</w:t>
      </w:r>
      <w:r w:rsidR="00C54700">
        <w:rPr>
          <w:lang w:val="fr-FR"/>
        </w:rPr>
        <w:noBreakHyphen/>
      </w:r>
      <w:r w:rsidRPr="000F4967">
        <w:rPr>
          <w:lang w:val="fr-FR"/>
        </w:rPr>
        <w:t xml:space="preserve">2027. </w:t>
      </w:r>
    </w:p>
    <w:bookmarkEnd w:id="3"/>
    <w:p w14:paraId="649068E2" w14:textId="00D3EB84" w:rsidR="002A3D1D" w:rsidRPr="000F4967" w:rsidRDefault="002A3D1D" w:rsidP="002A3D1D">
      <w:pPr>
        <w:pStyle w:val="WMOBodyText"/>
        <w:rPr>
          <w:lang w:val="fr-FR"/>
        </w:rPr>
      </w:pPr>
      <w:r w:rsidRPr="000F4967">
        <w:rPr>
          <w:lang w:val="fr-FR"/>
        </w:rPr>
        <w:t>Pour plus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informations, voir le document </w:t>
      </w:r>
      <w:hyperlink r:id="rId13" w:history="1">
        <w:r w:rsidRPr="000F4967">
          <w:rPr>
            <w:rStyle w:val="Hyperlink"/>
            <w:lang w:val="fr-FR"/>
          </w:rPr>
          <w:t>INFCOM-2/INF.</w:t>
        </w:r>
        <w:r w:rsidRPr="000F4967">
          <w:rPr>
            <w:rStyle w:val="Hyperlink"/>
            <w:lang w:val="fr-FR"/>
          </w:rPr>
          <w:t xml:space="preserve"> </w:t>
        </w:r>
        <w:r w:rsidRPr="000F4967">
          <w:rPr>
            <w:rStyle w:val="Hyperlink"/>
            <w:lang w:val="fr-FR"/>
          </w:rPr>
          <w:t>5.3</w:t>
        </w:r>
      </w:hyperlink>
      <w:r w:rsidRPr="000F4967">
        <w:rPr>
          <w:lang w:val="fr-FR"/>
        </w:rPr>
        <w:t>.</w:t>
      </w:r>
    </w:p>
    <w:p w14:paraId="649068E3" w14:textId="77777777" w:rsidR="002A3D1D" w:rsidRPr="000F4967" w:rsidRDefault="002A3D1D" w:rsidP="002A3D1D">
      <w:pPr>
        <w:pStyle w:val="WMOBodyText"/>
        <w:rPr>
          <w:lang w:val="fr-FR"/>
        </w:rPr>
      </w:pPr>
      <w:r w:rsidRPr="000F4967">
        <w:rPr>
          <w:lang w:val="fr-FR"/>
        </w:rPr>
        <w:t>_______</w:t>
      </w:r>
    </w:p>
    <w:p w14:paraId="649068E4" w14:textId="73D4177E" w:rsidR="002A3D1D" w:rsidRPr="000F4967" w:rsidRDefault="002A3D1D" w:rsidP="002A3D1D">
      <w:pPr>
        <w:pStyle w:val="WMOBodyText"/>
        <w:rPr>
          <w:color w:val="000000"/>
          <w:lang w:val="fr-FR"/>
        </w:rPr>
      </w:pPr>
      <w:r w:rsidRPr="000F4967">
        <w:rPr>
          <w:lang w:val="fr-FR"/>
        </w:rPr>
        <w:t>Justification de la décision:</w:t>
      </w:r>
      <w:r w:rsidRPr="000F4967">
        <w:rPr>
          <w:lang w:val="fr-FR"/>
        </w:rPr>
        <w:tab/>
        <w:t>Compte tenu du Plan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OMM pour la période 2020-2023 et de la décision </w:t>
      </w:r>
      <w:r w:rsidR="00FF732B">
        <w:rPr>
          <w:lang w:val="fr-FR"/>
        </w:rPr>
        <w:t>que devrait prendre le</w:t>
      </w:r>
      <w:r w:rsidRPr="000F4967">
        <w:rPr>
          <w:lang w:val="fr-FR"/>
        </w:rPr>
        <w:t xml:space="preserve"> Dix-neuvième Congrès météorologique mondial </w:t>
      </w:r>
      <w:r w:rsidR="00FF732B">
        <w:rPr>
          <w:lang w:val="fr-FR"/>
        </w:rPr>
        <w:t>au sujet du</w:t>
      </w:r>
      <w:r w:rsidRPr="000F4967">
        <w:rPr>
          <w:lang w:val="fr-FR"/>
        </w:rPr>
        <w:t xml:space="preserve"> nouveau Plan stratégique pour la</w:t>
      </w:r>
      <w:r w:rsidR="00FF732B">
        <w:rPr>
          <w:lang w:val="fr-FR"/>
        </w:rPr>
        <w:t xml:space="preserve"> période 2024-2027</w:t>
      </w:r>
      <w:r w:rsidRPr="000F4967">
        <w:rPr>
          <w:lang w:val="fr-FR"/>
        </w:rPr>
        <w:t xml:space="preserve"> selon la </w:t>
      </w:r>
      <w:hyperlink r:id="rId14" w:history="1">
        <w:r w:rsidRPr="002A4E2F">
          <w:rPr>
            <w:rStyle w:val="Hyperlink"/>
            <w:lang w:val="fr-FR"/>
          </w:rPr>
          <w:t>décision 10 (EC-75)</w:t>
        </w:r>
      </w:hyperlink>
      <w:r w:rsidRPr="000F4967">
        <w:rPr>
          <w:lang w:val="fr-FR"/>
        </w:rPr>
        <w:t xml:space="preserve"> </w:t>
      </w:r>
      <w:r w:rsidR="000F4967">
        <w:rPr>
          <w:lang w:val="fr-FR"/>
        </w:rPr>
        <w:t xml:space="preserve">– </w:t>
      </w:r>
      <w:r w:rsidRPr="002A4E2F">
        <w:rPr>
          <w:lang w:val="fr-FR"/>
        </w:rPr>
        <w:t>Démarche relative à l</w:t>
      </w:r>
      <w:r w:rsidR="007B52DD">
        <w:rPr>
          <w:lang w:val="fr-FR"/>
        </w:rPr>
        <w:t>’</w:t>
      </w:r>
      <w:r w:rsidRPr="002A4E2F">
        <w:rPr>
          <w:lang w:val="fr-FR"/>
        </w:rPr>
        <w:t>élaboration du Plan stratégique 2024-2027</w:t>
      </w:r>
      <w:r w:rsidRPr="000F4967">
        <w:rPr>
          <w:lang w:val="fr-FR"/>
        </w:rPr>
        <w:t>, le P</w:t>
      </w:r>
      <w:r w:rsidR="00FF732B">
        <w:rPr>
          <w:lang w:val="fr-FR"/>
        </w:rPr>
        <w:t>résident de l</w:t>
      </w:r>
      <w:r w:rsidR="007B52DD">
        <w:rPr>
          <w:lang w:val="fr-FR"/>
        </w:rPr>
        <w:t>’</w:t>
      </w:r>
      <w:r w:rsidR="00FF732B">
        <w:rPr>
          <w:lang w:val="fr-FR"/>
        </w:rPr>
        <w:t>INFCOM, d</w:t>
      </w:r>
      <w:r w:rsidR="007B52DD">
        <w:rPr>
          <w:lang w:val="fr-FR"/>
        </w:rPr>
        <w:t>’</w:t>
      </w:r>
      <w:r w:rsidR="00FF732B">
        <w:rPr>
          <w:lang w:val="fr-FR"/>
        </w:rPr>
        <w:t>entente</w:t>
      </w:r>
      <w:r w:rsidRPr="000F4967">
        <w:rPr>
          <w:lang w:val="fr-FR"/>
        </w:rPr>
        <w:t xml:space="preserve"> avec le Groupe de gestion, a amorcé l</w:t>
      </w:r>
      <w:r w:rsidR="007B52DD">
        <w:rPr>
          <w:lang w:val="fr-FR"/>
        </w:rPr>
        <w:t>’</w:t>
      </w:r>
      <w:r w:rsidRPr="000F4967">
        <w:rPr>
          <w:lang w:val="fr-FR"/>
        </w:rPr>
        <w:t>élaboration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un Plan </w:t>
      </w:r>
      <w:r w:rsidR="00FF732B">
        <w:rPr>
          <w:lang w:val="fr-FR"/>
        </w:rPr>
        <w:t xml:space="preserve">stratégique </w:t>
      </w:r>
      <w:r w:rsidRPr="000F4967">
        <w:rPr>
          <w:lang w:val="fr-FR"/>
        </w:rPr>
        <w:t xml:space="preserve">de mise en œuvre </w:t>
      </w:r>
      <w:r w:rsidR="00FF732B">
        <w:rPr>
          <w:lang w:val="fr-FR"/>
        </w:rPr>
        <w:t>pour</w:t>
      </w:r>
      <w:r w:rsidRPr="000F4967">
        <w:rPr>
          <w:lang w:val="fr-FR"/>
        </w:rPr>
        <w:t xml:space="preserve">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INFCOM, couvrant la période 2022 à 2027 et </w:t>
      </w:r>
      <w:r w:rsidR="00755BD4" w:rsidRPr="000F4967">
        <w:rPr>
          <w:lang w:val="fr-FR"/>
        </w:rPr>
        <w:t>présenté</w:t>
      </w:r>
      <w:r w:rsidR="00755BD4">
        <w:rPr>
          <w:lang w:val="fr-FR"/>
        </w:rPr>
        <w:t xml:space="preserve"> à l</w:t>
      </w:r>
      <w:r w:rsidR="007B52DD">
        <w:rPr>
          <w:lang w:val="fr-FR"/>
        </w:rPr>
        <w:t>’</w:t>
      </w:r>
      <w:r w:rsidR="00755BD4">
        <w:rPr>
          <w:lang w:val="fr-FR"/>
        </w:rPr>
        <w:t>INFCOM-2</w:t>
      </w:r>
      <w:r w:rsidR="00755BD4" w:rsidRPr="000F4967">
        <w:rPr>
          <w:lang w:val="fr-FR"/>
        </w:rPr>
        <w:t xml:space="preserve"> sous la </w:t>
      </w:r>
      <w:r w:rsidR="00FF732B">
        <w:rPr>
          <w:lang w:val="fr-FR"/>
        </w:rPr>
        <w:t>référence</w:t>
      </w:r>
      <w:r w:rsidR="00755BD4" w:rsidRPr="000F4967">
        <w:rPr>
          <w:lang w:val="fr-FR"/>
        </w:rPr>
        <w:t xml:space="preserve"> </w:t>
      </w:r>
      <w:r w:rsidR="00755BD4" w:rsidRPr="00755BD4">
        <w:rPr>
          <w:lang w:val="fr-FR"/>
        </w:rPr>
        <w:t>INFCOM-2/INF. 5.3</w:t>
      </w:r>
      <w:r w:rsidRPr="000F4967">
        <w:rPr>
          <w:lang w:val="fr-FR"/>
        </w:rPr>
        <w:t>.</w:t>
      </w:r>
    </w:p>
    <w:p w14:paraId="649068E6" w14:textId="769C4F18" w:rsidR="002A3D1D" w:rsidRPr="000F4967" w:rsidRDefault="002A3D1D" w:rsidP="00067A7A">
      <w:pPr>
        <w:pStyle w:val="WMOBodyText"/>
        <w:spacing w:after="480"/>
        <w:rPr>
          <w:lang w:val="fr-FR"/>
        </w:rPr>
      </w:pPr>
      <w:r w:rsidRPr="000F4967">
        <w:rPr>
          <w:lang w:val="fr-FR"/>
        </w:rPr>
        <w:t xml:space="preserve">Le présent document </w:t>
      </w:r>
      <w:r w:rsidR="00755BD4">
        <w:rPr>
          <w:lang w:val="fr-FR"/>
        </w:rPr>
        <w:t>a</w:t>
      </w:r>
      <w:r w:rsidRPr="000F4967">
        <w:rPr>
          <w:lang w:val="fr-FR"/>
        </w:rPr>
        <w:t xml:space="preserve"> pour </w:t>
      </w:r>
      <w:r w:rsidR="00755BD4">
        <w:rPr>
          <w:lang w:val="fr-FR"/>
        </w:rPr>
        <w:t>objet</w:t>
      </w:r>
      <w:r w:rsidRPr="000F4967">
        <w:rPr>
          <w:lang w:val="fr-FR"/>
        </w:rPr>
        <w:t xml:space="preserve"> </w:t>
      </w:r>
      <w:r w:rsidR="00A365B6">
        <w:rPr>
          <w:lang w:val="fr-FR"/>
        </w:rPr>
        <w:t>d</w:t>
      </w:r>
      <w:r w:rsidR="007B52DD">
        <w:rPr>
          <w:lang w:val="fr-FR"/>
        </w:rPr>
        <w:t>’</w:t>
      </w:r>
      <w:r w:rsidR="00A365B6">
        <w:rPr>
          <w:lang w:val="fr-FR"/>
        </w:rPr>
        <w:t>exposer</w:t>
      </w:r>
      <w:r w:rsidRPr="000F4967">
        <w:rPr>
          <w:lang w:val="fr-FR"/>
        </w:rPr>
        <w:t xml:space="preserve"> les travaux de l</w:t>
      </w:r>
      <w:r w:rsidR="007B52DD">
        <w:rPr>
          <w:lang w:val="fr-FR"/>
        </w:rPr>
        <w:t>’</w:t>
      </w:r>
      <w:r w:rsidRPr="000F4967">
        <w:rPr>
          <w:lang w:val="fr-FR"/>
        </w:rPr>
        <w:t>INFCOM au cours des cinq</w:t>
      </w:r>
      <w:r w:rsidR="00F36747">
        <w:rPr>
          <w:lang w:val="en-CH"/>
        </w:rPr>
        <w:t> </w:t>
      </w:r>
      <w:r w:rsidRPr="000F4967">
        <w:rPr>
          <w:lang w:val="fr-FR"/>
        </w:rPr>
        <w:t>prochaines années (2022-2027)</w:t>
      </w:r>
      <w:r w:rsidR="00A365B6">
        <w:rPr>
          <w:lang w:val="fr-FR"/>
        </w:rPr>
        <w:t>, de même que</w:t>
      </w:r>
      <w:r w:rsidR="00755BD4">
        <w:rPr>
          <w:lang w:val="fr-FR"/>
        </w:rPr>
        <w:t xml:space="preserve"> la manière dont </w:t>
      </w:r>
      <w:r w:rsidR="00A365B6">
        <w:rPr>
          <w:lang w:val="fr-FR"/>
        </w:rPr>
        <w:t>la Commission</w:t>
      </w:r>
      <w:r w:rsidR="00755BD4">
        <w:rPr>
          <w:lang w:val="fr-FR"/>
        </w:rPr>
        <w:t xml:space="preserve"> contribuera à</w:t>
      </w:r>
      <w:r w:rsidRPr="000F4967">
        <w:rPr>
          <w:lang w:val="fr-FR"/>
        </w:rPr>
        <w:t xml:space="preserve"> la mission et </w:t>
      </w:r>
      <w:r w:rsidR="00755BD4">
        <w:rPr>
          <w:lang w:val="fr-FR"/>
        </w:rPr>
        <w:t>aux</w:t>
      </w:r>
      <w:r w:rsidRPr="000F4967">
        <w:rPr>
          <w:lang w:val="fr-FR"/>
        </w:rPr>
        <w:t xml:space="preserve"> objectifs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OMM. Il </w:t>
      </w:r>
      <w:r w:rsidR="00A365B6">
        <w:rPr>
          <w:lang w:val="fr-FR"/>
        </w:rPr>
        <w:t>définira les enjeux de ses</w:t>
      </w:r>
      <w:r w:rsidR="00FF732B">
        <w:rPr>
          <w:lang w:val="fr-FR"/>
        </w:rPr>
        <w:t xml:space="preserve"> activités</w:t>
      </w:r>
      <w:r w:rsidRPr="000F4967">
        <w:rPr>
          <w:lang w:val="fr-FR"/>
        </w:rPr>
        <w:t xml:space="preserve">, ainsi que </w:t>
      </w:r>
      <w:r w:rsidR="00A365B6">
        <w:rPr>
          <w:lang w:val="fr-FR"/>
        </w:rPr>
        <w:t>leurs</w:t>
      </w:r>
      <w:r w:rsidRPr="000F4967">
        <w:rPr>
          <w:lang w:val="fr-FR"/>
        </w:rPr>
        <w:t xml:space="preserve"> objectifs, </w:t>
      </w:r>
      <w:r w:rsidR="00A365B6">
        <w:rPr>
          <w:lang w:val="fr-FR"/>
        </w:rPr>
        <w:t xml:space="preserve">leur </w:t>
      </w:r>
      <w:r w:rsidRPr="000F4967">
        <w:rPr>
          <w:lang w:val="fr-FR"/>
        </w:rPr>
        <w:t xml:space="preserve">orientation stratégique et les principes directeurs </w:t>
      </w:r>
      <w:r w:rsidR="00A365B6">
        <w:rPr>
          <w:lang w:val="fr-FR"/>
        </w:rPr>
        <w:t>qui les régissent</w:t>
      </w:r>
      <w:r w:rsidRPr="000F4967">
        <w:rPr>
          <w:lang w:val="fr-FR"/>
        </w:rPr>
        <w:t xml:space="preserve">. </w:t>
      </w:r>
      <w:r w:rsidR="00A365B6">
        <w:rPr>
          <w:lang w:val="fr-FR"/>
        </w:rPr>
        <w:t>Le</w:t>
      </w:r>
      <w:r w:rsidR="00067A7A">
        <w:rPr>
          <w:lang w:val="en-CH"/>
        </w:rPr>
        <w:t> </w:t>
      </w:r>
      <w:r w:rsidR="00A365B6">
        <w:rPr>
          <w:lang w:val="fr-FR"/>
        </w:rPr>
        <w:t>document établira</w:t>
      </w:r>
      <w:r w:rsidRPr="000F4967">
        <w:rPr>
          <w:lang w:val="fr-FR"/>
        </w:rPr>
        <w:t xml:space="preserve"> </w:t>
      </w:r>
      <w:r w:rsidR="0013734C" w:rsidRPr="000F4967">
        <w:rPr>
          <w:lang w:val="fr-FR"/>
        </w:rPr>
        <w:t xml:space="preserve">les </w:t>
      </w:r>
      <w:r w:rsidR="00A365B6">
        <w:rPr>
          <w:lang w:val="fr-FR"/>
        </w:rPr>
        <w:t xml:space="preserve">grandes </w:t>
      </w:r>
      <w:r w:rsidR="0013734C" w:rsidRPr="000F4967">
        <w:rPr>
          <w:lang w:val="fr-FR"/>
        </w:rPr>
        <w:t xml:space="preserve">priorités </w:t>
      </w:r>
      <w:r w:rsidRPr="000F4967">
        <w:rPr>
          <w:lang w:val="fr-FR"/>
        </w:rPr>
        <w:t xml:space="preserve">à moyen et </w:t>
      </w:r>
      <w:r w:rsidR="00755BD4">
        <w:rPr>
          <w:lang w:val="fr-FR"/>
        </w:rPr>
        <w:t xml:space="preserve">à </w:t>
      </w:r>
      <w:r w:rsidRPr="000F4967">
        <w:rPr>
          <w:lang w:val="fr-FR"/>
        </w:rPr>
        <w:t xml:space="preserve">long terme, ainsi que les activités </w:t>
      </w:r>
      <w:r w:rsidR="00755BD4">
        <w:rPr>
          <w:lang w:val="fr-FR"/>
        </w:rPr>
        <w:t xml:space="preserve">que </w:t>
      </w:r>
      <w:r w:rsidR="00A365B6" w:rsidRPr="000F4967">
        <w:rPr>
          <w:lang w:val="fr-FR"/>
        </w:rPr>
        <w:t>l</w:t>
      </w:r>
      <w:r w:rsidR="007B52DD">
        <w:rPr>
          <w:lang w:val="fr-FR"/>
        </w:rPr>
        <w:t>’</w:t>
      </w:r>
      <w:r w:rsidR="00A365B6" w:rsidRPr="000F4967">
        <w:rPr>
          <w:lang w:val="fr-FR"/>
        </w:rPr>
        <w:t xml:space="preserve">INFCOM </w:t>
      </w:r>
      <w:r w:rsidR="00755BD4">
        <w:rPr>
          <w:lang w:val="fr-FR"/>
        </w:rPr>
        <w:t>prévoit</w:t>
      </w:r>
      <w:r w:rsidRPr="000F4967">
        <w:rPr>
          <w:lang w:val="fr-FR"/>
        </w:rPr>
        <w:t xml:space="preserve"> </w:t>
      </w:r>
      <w:r w:rsidR="00A365B6">
        <w:rPr>
          <w:lang w:val="fr-FR"/>
        </w:rPr>
        <w:t xml:space="preserve">de mener </w:t>
      </w:r>
      <w:r w:rsidRPr="000F4967">
        <w:rPr>
          <w:lang w:val="fr-FR"/>
        </w:rPr>
        <w:t xml:space="preserve">pour gérer ces priorités. Il est destiné à être lu et compris par </w:t>
      </w:r>
      <w:r w:rsidR="00755BD4">
        <w:rPr>
          <w:lang w:val="fr-FR"/>
        </w:rPr>
        <w:t>des</w:t>
      </w:r>
      <w:r w:rsidRPr="000F4967">
        <w:rPr>
          <w:lang w:val="fr-FR"/>
        </w:rPr>
        <w:t xml:space="preserve"> experts comme par </w:t>
      </w:r>
      <w:r w:rsidR="00755BD4">
        <w:rPr>
          <w:lang w:val="fr-FR"/>
        </w:rPr>
        <w:t>des</w:t>
      </w:r>
      <w:r w:rsidRPr="000F4967">
        <w:rPr>
          <w:lang w:val="fr-FR"/>
        </w:rPr>
        <w:t xml:space="preserve"> profanes. Il est proposé d</w:t>
      </w:r>
      <w:r w:rsidR="007B52DD">
        <w:rPr>
          <w:lang w:val="fr-FR"/>
        </w:rPr>
        <w:t>’</w:t>
      </w:r>
      <w:r w:rsidRPr="000F4967">
        <w:rPr>
          <w:lang w:val="fr-FR"/>
        </w:rPr>
        <w:t>améliorer encore ce document en tenant compte des décisions prise</w:t>
      </w:r>
      <w:r w:rsidR="00755BD4">
        <w:rPr>
          <w:lang w:val="fr-FR"/>
        </w:rPr>
        <w:t>s</w:t>
      </w:r>
      <w:r w:rsidRPr="000F4967">
        <w:rPr>
          <w:lang w:val="fr-FR"/>
        </w:rPr>
        <w:t xml:space="preserve"> par l</w:t>
      </w:r>
      <w:r w:rsidR="007B52DD">
        <w:rPr>
          <w:lang w:val="fr-FR"/>
        </w:rPr>
        <w:t>’</w:t>
      </w:r>
      <w:r w:rsidRPr="000F4967">
        <w:rPr>
          <w:lang w:val="fr-FR"/>
        </w:rPr>
        <w:t>INFCOM</w:t>
      </w:r>
      <w:r w:rsidR="00755BD4">
        <w:rPr>
          <w:lang w:val="fr-FR"/>
        </w:rPr>
        <w:t>-2</w:t>
      </w:r>
      <w:r w:rsidRPr="000F4967">
        <w:rPr>
          <w:lang w:val="fr-FR"/>
        </w:rPr>
        <w:t xml:space="preserve"> lors de sa deuxième session ainsi que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autres décisions stratégiques </w:t>
      </w:r>
      <w:r w:rsidR="00755BD4">
        <w:rPr>
          <w:lang w:val="fr-FR"/>
        </w:rPr>
        <w:t>que prendront le</w:t>
      </w:r>
      <w:r w:rsidRPr="000F4967">
        <w:rPr>
          <w:lang w:val="fr-FR"/>
        </w:rPr>
        <w:t xml:space="preserve"> Conseil exécutif et </w:t>
      </w:r>
      <w:r w:rsidR="00755BD4">
        <w:rPr>
          <w:lang w:val="fr-FR"/>
        </w:rPr>
        <w:t>le</w:t>
      </w:r>
      <w:r w:rsidRPr="000F4967">
        <w:rPr>
          <w:lang w:val="fr-FR"/>
        </w:rPr>
        <w:t xml:space="preserve"> Congrès </w:t>
      </w:r>
      <w:r w:rsidR="00755BD4">
        <w:rPr>
          <w:lang w:val="fr-FR"/>
        </w:rPr>
        <w:t>pour lesquelles l</w:t>
      </w:r>
      <w:r w:rsidR="007B52DD">
        <w:rPr>
          <w:lang w:val="fr-FR"/>
        </w:rPr>
        <w:t>’</w:t>
      </w:r>
      <w:r w:rsidR="00755BD4">
        <w:rPr>
          <w:lang w:val="fr-FR"/>
        </w:rPr>
        <w:t>INFCOM aura un rôle à jouer.</w:t>
      </w:r>
    </w:p>
    <w:p w14:paraId="649068E7" w14:textId="2F05C2FF" w:rsidR="002A3D1D" w:rsidRPr="000F4967" w:rsidRDefault="002A3D1D" w:rsidP="002A3D1D">
      <w:pPr>
        <w:pStyle w:val="WMOBodyText"/>
        <w:jc w:val="center"/>
        <w:rPr>
          <w:lang w:val="fr-FR"/>
        </w:rPr>
      </w:pPr>
      <w:r w:rsidRPr="000F4967">
        <w:rPr>
          <w:lang w:val="fr-FR"/>
        </w:rPr>
        <w:t>____________</w:t>
      </w:r>
    </w:p>
    <w:sectPr w:rsidR="002A3D1D" w:rsidRPr="000F4967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0EBF" w14:textId="77777777" w:rsidR="004D7DA2" w:rsidRDefault="004D7DA2">
      <w:r>
        <w:separator/>
      </w:r>
    </w:p>
    <w:p w14:paraId="04E9A569" w14:textId="77777777" w:rsidR="004D7DA2" w:rsidRDefault="004D7DA2"/>
    <w:p w14:paraId="127B4F77" w14:textId="77777777" w:rsidR="004D7DA2" w:rsidRDefault="004D7DA2"/>
  </w:endnote>
  <w:endnote w:type="continuationSeparator" w:id="0">
    <w:p w14:paraId="7BAD13C0" w14:textId="77777777" w:rsidR="004D7DA2" w:rsidRDefault="004D7DA2">
      <w:r>
        <w:continuationSeparator/>
      </w:r>
    </w:p>
    <w:p w14:paraId="39DB9846" w14:textId="77777777" w:rsidR="004D7DA2" w:rsidRDefault="004D7DA2"/>
    <w:p w14:paraId="386D8215" w14:textId="77777777" w:rsidR="004D7DA2" w:rsidRDefault="004D7DA2"/>
  </w:endnote>
  <w:endnote w:type="continuationNotice" w:id="1">
    <w:p w14:paraId="73B22E4A" w14:textId="77777777" w:rsidR="004D7DA2" w:rsidRDefault="004D7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AE6F" w14:textId="77777777" w:rsidR="004D7DA2" w:rsidRDefault="004D7DA2">
      <w:r>
        <w:separator/>
      </w:r>
    </w:p>
  </w:footnote>
  <w:footnote w:type="continuationSeparator" w:id="0">
    <w:p w14:paraId="78724543" w14:textId="77777777" w:rsidR="004D7DA2" w:rsidRDefault="004D7DA2">
      <w:r>
        <w:continuationSeparator/>
      </w:r>
    </w:p>
    <w:p w14:paraId="52D8128D" w14:textId="77777777" w:rsidR="004D7DA2" w:rsidRDefault="004D7DA2"/>
    <w:p w14:paraId="464C84C3" w14:textId="77777777" w:rsidR="004D7DA2" w:rsidRDefault="004D7DA2"/>
  </w:footnote>
  <w:footnote w:type="continuationNotice" w:id="1">
    <w:p w14:paraId="63FC2EDF" w14:textId="77777777" w:rsidR="004D7DA2" w:rsidRDefault="004D7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68F6" w14:textId="40699055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DE5599" w:rsidRPr="00DE5599">
      <w:rPr>
        <w:sz w:val="18"/>
        <w:szCs w:val="18"/>
      </w:rPr>
      <w:t>5.3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26016A">
      <w:rPr>
        <w:rStyle w:val="PageNumber"/>
        <w:noProof/>
        <w:sz w:val="18"/>
        <w:szCs w:val="18"/>
      </w:rPr>
      <w:t>2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5283083">
    <w:abstractNumId w:val="30"/>
  </w:num>
  <w:num w:numId="2" w16cid:durableId="1908999867">
    <w:abstractNumId w:val="45"/>
  </w:num>
  <w:num w:numId="3" w16cid:durableId="2094619359">
    <w:abstractNumId w:val="28"/>
  </w:num>
  <w:num w:numId="4" w16cid:durableId="962886922">
    <w:abstractNumId w:val="37"/>
  </w:num>
  <w:num w:numId="5" w16cid:durableId="771827602">
    <w:abstractNumId w:val="18"/>
  </w:num>
  <w:num w:numId="6" w16cid:durableId="688289458">
    <w:abstractNumId w:val="23"/>
  </w:num>
  <w:num w:numId="7" w16cid:durableId="684137385">
    <w:abstractNumId w:val="19"/>
  </w:num>
  <w:num w:numId="8" w16cid:durableId="353849805">
    <w:abstractNumId w:val="31"/>
  </w:num>
  <w:num w:numId="9" w16cid:durableId="1218661092">
    <w:abstractNumId w:val="22"/>
  </w:num>
  <w:num w:numId="10" w16cid:durableId="1783694164">
    <w:abstractNumId w:val="21"/>
  </w:num>
  <w:num w:numId="11" w16cid:durableId="1010135304">
    <w:abstractNumId w:val="36"/>
  </w:num>
  <w:num w:numId="12" w16cid:durableId="1358046150">
    <w:abstractNumId w:val="12"/>
  </w:num>
  <w:num w:numId="13" w16cid:durableId="871769362">
    <w:abstractNumId w:val="26"/>
  </w:num>
  <w:num w:numId="14" w16cid:durableId="128595785">
    <w:abstractNumId w:val="41"/>
  </w:num>
  <w:num w:numId="15" w16cid:durableId="1091436815">
    <w:abstractNumId w:val="20"/>
  </w:num>
  <w:num w:numId="16" w16cid:durableId="1793011336">
    <w:abstractNumId w:val="9"/>
  </w:num>
  <w:num w:numId="17" w16cid:durableId="361170730">
    <w:abstractNumId w:val="7"/>
  </w:num>
  <w:num w:numId="18" w16cid:durableId="1988585426">
    <w:abstractNumId w:val="6"/>
  </w:num>
  <w:num w:numId="19" w16cid:durableId="1050571356">
    <w:abstractNumId w:val="5"/>
  </w:num>
  <w:num w:numId="20" w16cid:durableId="870915849">
    <w:abstractNumId w:val="4"/>
  </w:num>
  <w:num w:numId="21" w16cid:durableId="399207266">
    <w:abstractNumId w:val="8"/>
  </w:num>
  <w:num w:numId="22" w16cid:durableId="795559663">
    <w:abstractNumId w:val="3"/>
  </w:num>
  <w:num w:numId="23" w16cid:durableId="1035931988">
    <w:abstractNumId w:val="2"/>
  </w:num>
  <w:num w:numId="24" w16cid:durableId="1329864113">
    <w:abstractNumId w:val="1"/>
  </w:num>
  <w:num w:numId="25" w16cid:durableId="1303853653">
    <w:abstractNumId w:val="0"/>
  </w:num>
  <w:num w:numId="26" w16cid:durableId="2008484107">
    <w:abstractNumId w:val="43"/>
  </w:num>
  <w:num w:numId="27" w16cid:durableId="218640267">
    <w:abstractNumId w:val="32"/>
  </w:num>
  <w:num w:numId="28" w16cid:durableId="1706831347">
    <w:abstractNumId w:val="24"/>
  </w:num>
  <w:num w:numId="29" w16cid:durableId="2002343599">
    <w:abstractNumId w:val="33"/>
  </w:num>
  <w:num w:numId="30" w16cid:durableId="233127871">
    <w:abstractNumId w:val="34"/>
  </w:num>
  <w:num w:numId="31" w16cid:durableId="935482713">
    <w:abstractNumId w:val="15"/>
  </w:num>
  <w:num w:numId="32" w16cid:durableId="719869016">
    <w:abstractNumId w:val="40"/>
  </w:num>
  <w:num w:numId="33" w16cid:durableId="1610504291">
    <w:abstractNumId w:val="38"/>
  </w:num>
  <w:num w:numId="34" w16cid:durableId="107051175">
    <w:abstractNumId w:val="25"/>
  </w:num>
  <w:num w:numId="35" w16cid:durableId="1624652757">
    <w:abstractNumId w:val="27"/>
  </w:num>
  <w:num w:numId="36" w16cid:durableId="1039816946">
    <w:abstractNumId w:val="44"/>
  </w:num>
  <w:num w:numId="37" w16cid:durableId="1619213099">
    <w:abstractNumId w:val="35"/>
  </w:num>
  <w:num w:numId="38" w16cid:durableId="1732462061">
    <w:abstractNumId w:val="13"/>
  </w:num>
  <w:num w:numId="39" w16cid:durableId="594552463">
    <w:abstractNumId w:val="14"/>
  </w:num>
  <w:num w:numId="40" w16cid:durableId="179052261">
    <w:abstractNumId w:val="16"/>
  </w:num>
  <w:num w:numId="41" w16cid:durableId="2103260967">
    <w:abstractNumId w:val="10"/>
  </w:num>
  <w:num w:numId="42" w16cid:durableId="1772315899">
    <w:abstractNumId w:val="42"/>
  </w:num>
  <w:num w:numId="43" w16cid:durableId="731730920">
    <w:abstractNumId w:val="17"/>
  </w:num>
  <w:num w:numId="44" w16cid:durableId="753362267">
    <w:abstractNumId w:val="29"/>
  </w:num>
  <w:num w:numId="45" w16cid:durableId="175391191">
    <w:abstractNumId w:val="39"/>
  </w:num>
  <w:num w:numId="46" w16cid:durableId="517350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5"/>
    <w:rsid w:val="00003784"/>
    <w:rsid w:val="00005301"/>
    <w:rsid w:val="0001247A"/>
    <w:rsid w:val="000125E7"/>
    <w:rsid w:val="000133EE"/>
    <w:rsid w:val="000206A8"/>
    <w:rsid w:val="00027205"/>
    <w:rsid w:val="0003137A"/>
    <w:rsid w:val="000316C8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7A7A"/>
    <w:rsid w:val="00072F17"/>
    <w:rsid w:val="000731AA"/>
    <w:rsid w:val="000762A6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4967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734C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016A"/>
    <w:rsid w:val="0026743C"/>
    <w:rsid w:val="00270480"/>
    <w:rsid w:val="002779AF"/>
    <w:rsid w:val="002800B5"/>
    <w:rsid w:val="002823D8"/>
    <w:rsid w:val="0028531A"/>
    <w:rsid w:val="00285446"/>
    <w:rsid w:val="00290082"/>
    <w:rsid w:val="00295593"/>
    <w:rsid w:val="002A354F"/>
    <w:rsid w:val="002A386C"/>
    <w:rsid w:val="002A3D1D"/>
    <w:rsid w:val="002A4E2F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2E1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7DA2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5CE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09D2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5BD4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B4004"/>
    <w:rsid w:val="007B52DD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E5A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287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5B6"/>
    <w:rsid w:val="00A36CBA"/>
    <w:rsid w:val="00A432CD"/>
    <w:rsid w:val="00A45741"/>
    <w:rsid w:val="00A46F30"/>
    <w:rsid w:val="00A47EF6"/>
    <w:rsid w:val="00A50291"/>
    <w:rsid w:val="00A530E4"/>
    <w:rsid w:val="00A56709"/>
    <w:rsid w:val="00A56834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B755A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0926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4234"/>
    <w:rsid w:val="00C54700"/>
    <w:rsid w:val="00C55E5B"/>
    <w:rsid w:val="00C62739"/>
    <w:rsid w:val="00C635A7"/>
    <w:rsid w:val="00C6797F"/>
    <w:rsid w:val="00C71CD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55B02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7AA5"/>
    <w:rsid w:val="00DC17C2"/>
    <w:rsid w:val="00DC4FDF"/>
    <w:rsid w:val="00DC66F0"/>
    <w:rsid w:val="00DD3105"/>
    <w:rsid w:val="00DD3A65"/>
    <w:rsid w:val="00DD62C6"/>
    <w:rsid w:val="00DD700B"/>
    <w:rsid w:val="00DE3B92"/>
    <w:rsid w:val="00DE48B4"/>
    <w:rsid w:val="00DE5599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36747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  <w:rsid w:val="00FF73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49068BD"/>
  <w15:docId w15:val="{AA655067-235C-49B4-B2BD-9D16A0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092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French/2.%20Version%20provisoire%20du%20rapport%20(documents%20approuv%C3%A9s)/EC-75-d04(1)-APPROACH-TO-THE-STRATEGIC-PLAN-2024-2027-approved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net\AppData\Local\Microsoft\Windows\INetCache\Content.Outlook\EQSM67XK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FC83D-29EE-453E-A039-8D044A139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8DA4BD6-C63C-467A-B661-70E4D69F87EE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16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3600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Evaluation</dc:creator>
  <cp:lastModifiedBy>Frédérique JULLIARD</cp:lastModifiedBy>
  <cp:revision>14</cp:revision>
  <cp:lastPrinted>2022-10-17T14:51:00Z</cp:lastPrinted>
  <dcterms:created xsi:type="dcterms:W3CDTF">2022-10-17T15:24:00Z</dcterms:created>
  <dcterms:modified xsi:type="dcterms:W3CDTF">2022-10-17T15:58:00Z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